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rPr>
          <w:rFonts w:hint="default" w:ascii="Times New Roman" w:hAnsi="Times New Roman" w:eastAsia="宋体" w:cs="Times New Roman"/>
          <w:b/>
          <w:bCs/>
          <w:sz w:val="36"/>
          <w:szCs w:val="36"/>
        </w:rPr>
      </w:pPr>
      <w:r>
        <w:rPr>
          <w:rFonts w:hint="default" w:ascii="Times New Roman" w:hAnsi="Times New Roman" w:eastAsia="宋体" w:cs="Times New Roman"/>
          <w:b/>
          <w:bCs/>
          <w:sz w:val="36"/>
          <w:szCs w:val="36"/>
        </w:rPr>
        <w:t>系统组件模块调研</w:t>
      </w:r>
    </w:p>
    <w:p>
      <w:pPr>
        <w:pStyle w:val="2"/>
        <w:spacing w:before="120" w:after="120" w:line="578" w:lineRule="auto"/>
        <w:ind w:left="0" w:firstLine="0" w:firstLineChars="0"/>
        <w:rPr>
          <w:rFonts w:hint="default" w:ascii="Times New Roman" w:hAnsi="Times New Roman" w:eastAsia="宋体" w:cs="Times New Roman"/>
          <w:sz w:val="32"/>
        </w:rPr>
      </w:pPr>
      <w:bookmarkStart w:id="0" w:name="_Hlk65225685"/>
      <w:r>
        <w:rPr>
          <w:rFonts w:hint="default" w:ascii="Times New Roman" w:hAnsi="Times New Roman" w:eastAsia="宋体" w:cs="Times New Roman"/>
          <w:sz w:val="32"/>
        </w:rPr>
        <w:t>微波卫星产品算法流程化技术检验评价子系统</w:t>
      </w:r>
      <w:bookmarkEnd w:id="0"/>
    </w:p>
    <w:p>
      <w:pPr>
        <w:pStyle w:val="3"/>
        <w:bidi w:val="0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土壤水分产品</w:t>
      </w:r>
    </w:p>
    <w:p>
      <w:pPr>
        <w:pStyle w:val="4"/>
        <w:numPr>
          <w:ilvl w:val="2"/>
          <w:numId w:val="0"/>
        </w:numPr>
        <w:bidi w:val="0"/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1.1.1 </w:t>
      </w:r>
      <w:r>
        <w:rPr>
          <w:rFonts w:hint="default" w:ascii="Times New Roman" w:hAnsi="Times New Roman" w:eastAsia="宋体" w:cs="Times New Roman"/>
        </w:rPr>
        <w:t>适用范围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该算法针对1米C-SAR卫星产品，3米L-SAR卫星产品。</w:t>
      </w:r>
    </w:p>
    <w:p>
      <w:pPr>
        <w:pStyle w:val="4"/>
        <w:numPr>
          <w:ilvl w:val="2"/>
          <w:numId w:val="0"/>
        </w:numPr>
        <w:bidi w:val="0"/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1.1.2 </w:t>
      </w:r>
      <w:r>
        <w:rPr>
          <w:rFonts w:hint="default" w:ascii="Times New Roman" w:hAnsi="Times New Roman" w:cs="Times New Roman"/>
        </w:rPr>
        <w:t>产品定义</w:t>
      </w:r>
    </w:p>
    <w:p>
      <w:pPr>
        <w:rPr>
          <w:rFonts w:hint="default"/>
          <w:lang w:val="en-US"/>
        </w:rPr>
      </w:pPr>
      <w:r>
        <w:rPr>
          <w:rFonts w:hint="default" w:ascii="Times New Roman" w:hAnsi="Times New Roman" w:cs="Times New Roman"/>
          <w:lang w:val="en-US" w:eastAsia="zh-CN"/>
        </w:rPr>
        <w:t>土壤水分产品</w:t>
      </w:r>
      <w:r>
        <w:rPr>
          <w:rFonts w:hint="eastAsia" w:ascii="Times New Roman" w:hAnsi="Times New Roman" w:cs="Times New Roman"/>
          <w:lang w:val="en-US" w:eastAsia="zh-CN"/>
        </w:rPr>
        <w:t>：</w:t>
      </w:r>
    </w:p>
    <w:p>
      <w:pPr>
        <w:pStyle w:val="4"/>
        <w:numPr>
          <w:ilvl w:val="2"/>
          <w:numId w:val="0"/>
        </w:numPr>
        <w:bidi w:val="0"/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1.1.3 </w:t>
      </w:r>
      <w:r>
        <w:rPr>
          <w:rFonts w:hint="default" w:ascii="Times New Roman" w:hAnsi="Times New Roman" w:cs="Times New Roman"/>
        </w:rPr>
        <w:t>土壤水分产品流程</w:t>
      </w:r>
    </w:p>
    <w:p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object>
          <v:shape id="_x0000_i1025" o:spt="75" type="#_x0000_t75" style="height:357.3pt;width:481.9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Visio.Drawing.15" ShapeID="_x0000_i1025" DrawAspect="Content" ObjectID="_1468075725" r:id="rId14">
            <o:LockedField>false</o:LockedField>
          </o:OLEObject>
        </w:object>
      </w: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待处理数据选择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数据类型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后向散射系数产品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极化方式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sym w:font="Wingdings 2" w:char="F06A"/>
      </w:r>
      <w:r>
        <w:rPr>
          <w:rFonts w:hint="default" w:ascii="Times New Roman" w:hAnsi="Times New Roman" w:cs="Times New Roman"/>
        </w:rPr>
        <w:t>HH极化后向散射系数产品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sym w:font="Wingdings 2" w:char="F06B"/>
      </w:r>
      <w:r>
        <w:rPr>
          <w:rFonts w:hint="default" w:ascii="Times New Roman" w:hAnsi="Times New Roman" w:cs="Times New Roman"/>
        </w:rPr>
        <w:t>VV极化后向散射系数产品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①后向散射系数</w:t>
      </w:r>
      <w:r>
        <w:rPr>
          <w:rFonts w:hint="default" w:ascii="Times New Roman" w:hAnsi="Times New Roman" w:cs="Times New Roman"/>
          <w:b/>
          <w:bCs/>
        </w:rPr>
        <w:t>生产时间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②经纬度坐标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③区域范围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④分辨率</w:t>
      </w:r>
    </w:p>
    <w:p>
      <w:pPr>
        <w:ind w:left="0" w:leftChars="0" w:firstLine="0" w:firstLineChars="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FF0000"/>
          <w:lang w:val="en-US" w:eastAsia="zh-CN"/>
        </w:rPr>
        <w:t>预处理流程</w:t>
      </w:r>
      <w:r>
        <w:rPr>
          <w:rFonts w:hint="eastAsia" w:ascii="Times New Roman" w:hAnsi="Times New Roman" w:cs="Times New Roman"/>
          <w:lang w:val="en-US" w:eastAsia="zh-CN"/>
        </w:rPr>
        <w:t>：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影像投影系转换为地理坐标系（EPSG:4326），函数：check_img_projection()；</w:t>
      </w:r>
    </w:p>
    <w:p>
      <w:pPr>
        <w:ind w:left="0" w:leftChars="0" w:firstLine="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2.根据box参数和影像相交区域裁剪影像，函数：cut_imgs()；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3.cover、NDVI、NDWI、</w:t>
      </w:r>
      <w:commentRangeStart w:id="0"/>
      <w:r>
        <w:rPr>
          <w:rFonts w:hint="eastAsia" w:ascii="Times New Roman" w:hAnsi="Times New Roman" w:cs="Times New Roman"/>
          <w:color w:val="FF0000"/>
          <w:lang w:val="en-US" w:eastAsia="zh-CN"/>
        </w:rPr>
        <w:t>局部入射角文件影像</w:t>
      </w:r>
      <w:commentRangeEnd w:id="0"/>
      <w:r>
        <w:commentReference w:id="0"/>
      </w:r>
      <w:commentRangeStart w:id="1"/>
      <w:r>
        <w:rPr>
          <w:rFonts w:hint="eastAsia" w:ascii="Times New Roman" w:hAnsi="Times New Roman" w:cs="Times New Roman"/>
          <w:color w:val="FF0000"/>
          <w:lang w:val="en-US" w:eastAsia="zh-CN"/>
        </w:rPr>
        <w:t>重采样到sar影像相同分辨率</w:t>
      </w:r>
      <w:commentRangeEnd w:id="1"/>
      <w:r>
        <w:commentReference w:id="1"/>
      </w:r>
      <w:r>
        <w:rPr>
          <w:rFonts w:hint="eastAsia" w:ascii="Times New Roman" w:hAnsi="Times New Roman" w:cs="Times New Roman"/>
          <w:color w:val="FF0000"/>
          <w:lang w:val="en-US" w:eastAsia="zh-CN"/>
        </w:rPr>
        <w:t>，函数：resampling_img()；</w:t>
      </w:r>
    </w:p>
    <w:p>
      <w:pPr>
        <w:ind w:left="0" w:leftChars="0" w:firstLine="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预处理结果输出路径：I:\MicroWorkspace\product\C-SAR\SoilMoisture\Temporary\preprocessed</w:t>
      </w:r>
    </w:p>
    <w:p>
      <w:pPr>
        <w:ind w:left="0" w:leftChars="0" w:firstLine="0" w:firstLineChars="0"/>
        <w:rPr>
          <w:rFonts w:hint="default" w:ascii="Times New Roman" w:hAnsi="Times New Roman" w:cs="Times New Roman"/>
          <w:color w:val="FF0000"/>
          <w:lang w:val="en-US" w:eastAsia="zh-CN"/>
        </w:rPr>
      </w:pPr>
      <w:r>
        <w:rPr>
          <w:rFonts w:hint="default" w:ascii="Times New Roman" w:hAnsi="Times New Roman" w:cs="Times New Roman"/>
          <w:color w:val="FF0000"/>
          <w:lang w:val="en-US" w:eastAsia="zh-CN"/>
        </w:rPr>
        <w:t>HH_preprocessed.tif</w:t>
      </w:r>
      <w:r>
        <w:rPr>
          <w:rFonts w:hint="eastAsia" w:ascii="Times New Roman" w:hAnsi="Times New Roman" w:cs="Times New Roman"/>
          <w:color w:val="FF0000"/>
          <w:lang w:val="en-US" w:eastAsia="zh-CN"/>
        </w:rPr>
        <w:t>、VV_preprocessed.tif、Covering_preprocessed.tif、NDVI_preprocessed.tif、NDWI_preprocessed.tif、LocalIncidenceAngle_preprocessed.tif</w:t>
      </w: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除去水体、城镇、道路等像元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数据匹配</w:t>
      </w:r>
    </w:p>
    <w:p>
      <w:pPr>
        <w:ind w:firstLine="560"/>
        <w:rPr>
          <w:rFonts w:hint="eastAsia" w:ascii="Times New Roman" w:hAnsi="Times New Roman" w:cs="Times New Roman"/>
          <w:lang w:eastAsia="zh-CN"/>
        </w:rPr>
      </w:pPr>
      <w:r>
        <w:rPr>
          <w:rFonts w:hint="default" w:ascii="Times New Roman" w:hAnsi="Times New Roman" w:cs="Times New Roman"/>
        </w:rPr>
        <w:t>2020年全国30米地表覆盖产品</w:t>
      </w:r>
      <w:r>
        <w:rPr>
          <w:rFonts w:hint="eastAsia" w:ascii="Times New Roman" w:hAnsi="Times New Roman" w:cs="Times New Roman"/>
          <w:lang w:eastAsia="zh-CN"/>
        </w:rPr>
        <w:t>，</w:t>
      </w:r>
    </w:p>
    <w:p>
      <w:pPr>
        <w:ind w:firstLine="560"/>
        <w:rPr>
          <w:rFonts w:hint="eastAsia"/>
        </w:rPr>
      </w:pPr>
      <w:r>
        <w:rPr>
          <w:rFonts w:hint="eastAsia" w:ascii="Times New Roman" w:hAnsi="Times New Roman" w:cs="Times New Roman"/>
          <w:lang w:val="en-US" w:eastAsia="zh-CN"/>
        </w:rPr>
        <w:t>下载链接：</w:t>
      </w:r>
      <w:r>
        <w:fldChar w:fldCharType="begin"/>
      </w:r>
      <w:r>
        <w:instrText xml:space="preserve"> HYPERLINK "http://data.casearth.cn/sdo/detail/5fbc7904819aec1ea2dd7061" </w:instrText>
      </w:r>
      <w:r>
        <w:fldChar w:fldCharType="separate"/>
      </w:r>
      <w:r>
        <w:rPr>
          <w:rStyle w:val="18"/>
        </w:rPr>
        <w:t>http://data.casearth.cn/sdo/detail/5fbc7904819aec1ea2dd7061</w:t>
      </w:r>
      <w:r>
        <w:rPr>
          <w:rStyle w:val="18"/>
        </w:rPr>
        <w:fldChar w:fldCharType="end"/>
      </w:r>
    </w:p>
    <w:p>
      <w:pPr>
        <w:ind w:firstLine="560"/>
        <w:rPr>
          <w:rFonts w:hint="default" w:ascii="Times New Roman" w:hAnsi="Times New Roman" w:eastAsia="宋体" w:cs="Times New Roman"/>
          <w:lang w:val="en-US" w:eastAsia="zh-CN"/>
        </w:rPr>
      </w:pP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选择</w:t>
      </w:r>
      <w:r>
        <w:rPr>
          <w:rFonts w:hint="eastAsia" w:ascii="Times New Roman" w:hAnsi="Times New Roman" w:cs="Times New Roman"/>
          <w:lang w:val="en-US" w:eastAsia="zh-CN"/>
        </w:rPr>
        <w:t>植被覆盖</w:t>
      </w:r>
      <w:r>
        <w:rPr>
          <w:rFonts w:hint="default" w:ascii="Times New Roman" w:hAnsi="Times New Roman" w:cs="Times New Roman"/>
        </w:rPr>
        <w:t>范围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数据匹配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与HH、VV后向散射系数产品相同范围的NDVI数据。</w:t>
      </w:r>
    </w:p>
    <w:p>
      <w:pPr>
        <w:pStyle w:val="4"/>
        <w:numPr>
          <w:ilvl w:val="2"/>
          <w:numId w:val="0"/>
        </w:numPr>
        <w:ind w:left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具有裸土范围的HH极化后向散射系数产品及VV极化后向散射系数产品。</w:t>
      </w:r>
    </w:p>
    <w:p>
      <w:pPr>
        <w:ind w:left="0" w:leftChars="0" w:firstLine="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计算ROI流程，函数： create_roi()：</w:t>
      </w:r>
    </w:p>
    <w:p>
      <w:pPr>
        <w:ind w:left="0" w:leftChars="0" w:firstLine="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</w:t>
      </w:r>
    </w:p>
    <w:p>
      <w:pPr>
        <w:ind w:firstLine="560"/>
        <w:rPr>
          <w:rFonts w:hint="default" w:ascii="Times New Roman" w:hAnsi="Times New Roman" w:cs="Times New Roman"/>
          <w:lang w:val="en-US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I:\MicroWorkspace\product\C-SAR\SoilMoisture\Temporary\preprocessed\mask.tif</w:t>
      </w: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计算VWC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NDWI数据匹配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与HH、VV后向散射系数产品相同范围的NDWI数据。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经验系数匹配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经验系数数据库中提取，e</w:t>
      </w:r>
      <w:r>
        <w:rPr>
          <w:rFonts w:hint="default" w:ascii="Times New Roman" w:hAnsi="Times New Roman" w:cs="Times New Roman"/>
          <w:vertAlign w:val="subscript"/>
        </w:rPr>
        <w:t>1、</w:t>
      </w:r>
      <w:r>
        <w:rPr>
          <w:rFonts w:hint="default" w:ascii="Times New Roman" w:hAnsi="Times New Roman" w:cs="Times New Roman"/>
        </w:rPr>
        <w:t>e</w:t>
      </w:r>
      <w:r>
        <w:rPr>
          <w:rFonts w:hint="default" w:ascii="Times New Roman" w:hAnsi="Times New Roman" w:cs="Times New Roman"/>
          <w:vertAlign w:val="subscript"/>
        </w:rPr>
        <w:t>2</w:t>
      </w:r>
      <w:r>
        <w:rPr>
          <w:rFonts w:hint="default" w:ascii="Times New Roman" w:hAnsi="Times New Roman" w:cs="Times New Roman"/>
        </w:rPr>
        <w:t>根据区域查找对应的值。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计算公式</w:t>
      </w:r>
    </w:p>
    <w:p>
      <w:pPr>
        <w:pStyle w:val="22"/>
        <w:ind w:firstLine="720" w:firstLineChars="300"/>
        <w:rPr>
          <w:rFonts w:hint="default" w:ascii="Times New Roman" w:hAnsi="Times New Roman" w:cs="Times New Roman"/>
          <w:sz w:val="24"/>
        </w:rPr>
      </w:pPr>
      <m:oMathPara>
        <m:oMath>
          <m:r>
            <m:rPr/>
            <w:rPr>
              <w:rFonts w:hint="default" w:ascii="Cambria Math" w:hAnsi="Cambria Math" w:cs="Times New Roman"/>
              <w:sz w:val="24"/>
            </w:rPr>
            <m:t>VWC</m:t>
          </m:r>
          <m:r>
            <m:rPr>
              <m:sty m:val="p"/>
            </m:rPr>
            <w:rPr>
              <w:rFonts w:hint="default" w:ascii="Cambria Math" w:hAnsi="Cambria Math" w:cs="Times New Roman"/>
              <w:sz w:val="24"/>
            </w:rPr>
            <m:t>=</m:t>
          </m:r>
          <m:sSub>
            <m:sSubPr>
              <m:ctrlPr>
                <w:rPr>
                  <w:rFonts w:hint="default" w:ascii="Cambria Math" w:hAnsi="Cambria Math" w:cs="Times New Roman"/>
                  <w:sz w:val="24"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  <w:sz w:val="24"/>
                </w:rPr>
                <m:t>e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e>
            <m:sub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1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sub>
          </m:sSub>
          <m:sSup>
            <m:sSupPr>
              <m:ctrlPr>
                <w:rPr>
                  <w:rFonts w:hint="default" w:ascii="Cambria Math" w:hAnsi="Cambria Math" w:cs="Times New Roman"/>
                  <w:sz w:val="24"/>
                </w:rPr>
              </m:ctrlPr>
            </m:sSupPr>
            <m:e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NDWI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e>
            <m:sup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2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sup>
          </m:sSup>
          <m:r>
            <m:rPr>
              <m:sty m:val="p"/>
            </m:rPr>
            <w:rPr>
              <w:rFonts w:hint="default" w:ascii="Cambria Math" w:hAnsi="Cambria Math" w:cs="Times New Roman"/>
              <w:sz w:val="24"/>
            </w:rPr>
            <m:t>+</m:t>
          </m:r>
          <m:sSub>
            <m:sSubPr>
              <m:ctrlPr>
                <w:rPr>
                  <w:rFonts w:hint="default" w:ascii="Cambria Math" w:hAnsi="Cambria Math" w:cs="Times New Roman"/>
                  <w:sz w:val="24"/>
                </w:rPr>
              </m:ctrlPr>
            </m:sSubPr>
            <m:e>
              <m:r>
                <m:rPr/>
                <w:rPr>
                  <w:rFonts w:hint="default" w:ascii="Cambria Math" w:hAnsi="Cambria Math" w:cs="Times New Roman"/>
                  <w:sz w:val="24"/>
                </w:rPr>
                <m:t>e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e>
            <m:sub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2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sub>
          </m:sSub>
          <m:r>
            <m:rPr>
              <m:sty m:val="p"/>
            </m:rPr>
            <w:rPr>
              <w:rFonts w:hint="default" w:ascii="Cambria Math" w:hAnsi="Cambria Math" w:cs="Times New Roman"/>
              <w:sz w:val="24"/>
            </w:rPr>
            <m:t>NDWI</m:t>
          </m:r>
        </m:oMath>
      </m:oMathPara>
    </w:p>
    <w:p>
      <w:pPr>
        <w:pStyle w:val="22"/>
        <w:ind w:firstLine="1440" w:firstLineChars="600"/>
        <w:jc w:val="both"/>
        <w:rPr>
          <w:rFonts w:hint="default" w:ascii="Times New Roman" w:hAnsi="Times New Roman" w:cs="Times New Roman"/>
          <w:szCs w:val="28"/>
        </w:rPr>
      </w:pPr>
      <m:oMathPara>
        <m:oMath>
          <m:r>
            <m:rPr>
              <m:sty m:val="p"/>
            </m:rPr>
            <w:rPr>
              <w:rFonts w:hint="default" w:ascii="Cambria Math" w:hAnsi="Cambria Math" w:cs="Times New Roman"/>
              <w:kern w:val="0"/>
              <w:sz w:val="24"/>
            </w:rPr>
            <m:t>NDWI=</m:t>
          </m:r>
          <m:f>
            <m:fPr>
              <m:ctrlPr>
                <w:rPr>
                  <w:rFonts w:hint="default" w:ascii="Cambria Math" w:hAnsi="Cambria Math" w:cs="Times New Roman"/>
                  <w:sz w:val="24"/>
                  <w:szCs w:val="24"/>
                </w:rPr>
              </m:ctrlPr>
            </m:fPr>
            <m:num>
              <m:sSub>
                <m:sSubP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NIR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eastAsia="MS Mincho" w:cs="Times New Roman"/>
                  <w:kern w:val="0"/>
                  <w:sz w:val="24"/>
                </w:rPr>
                <m:t>−</m:t>
              </m:r>
              <m:sSub>
                <m:sSubP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SWIR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ub>
              </m:sSub>
              <m:ctrlPr>
                <w:rPr>
                  <w:rFonts w:hint="default" w:ascii="Cambria Math" w:hAnsi="Cambria Math" w:cs="Times New Roman"/>
                  <w:sz w:val="24"/>
                  <w:szCs w:val="24"/>
                </w:rPr>
              </m:ctrlPr>
            </m:num>
            <m:den>
              <m:sSub>
                <m:sSubP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NIR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ub>
              </m:sSub>
              <m:r>
                <m:rPr>
                  <m:sty m:val="p"/>
                </m:rPr>
                <w:rPr>
                  <w:rFonts w:hint="default" w:ascii="Cambria Math" w:hAnsi="Cambria Math" w:cs="Times New Roman"/>
                  <w:kern w:val="0"/>
                  <w:sz w:val="24"/>
                </w:rPr>
                <m:t>+</m:t>
              </m:r>
              <m:sSub>
                <m:sSubP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kern w:val="0"/>
                      <w:sz w:val="24"/>
                    </w:rPr>
                    <m:t>SWIR</m:t>
                  </m:r>
                  <m:ctrlPr>
                    <w:rPr>
                      <w:rFonts w:hint="default" w:ascii="Cambria Math" w:hAnsi="Cambria Math" w:cs="Times New Roman"/>
                      <w:sz w:val="24"/>
                      <w:szCs w:val="24"/>
                    </w:rPr>
                  </m:ctrlPr>
                </m:sub>
              </m:sSub>
              <m:ctrlPr>
                <w:rPr>
                  <w:rFonts w:hint="default" w:ascii="Cambria Math" w:hAnsi="Cambria Math" w:cs="Times New Roman"/>
                  <w:sz w:val="24"/>
                  <w:szCs w:val="24"/>
                </w:rPr>
              </m:ctrlPr>
            </m:den>
          </m:f>
        </m:oMath>
      </m:oMathPara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备注：NDVI、NDWI直接从数据库中读成果数据。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 </w:t>
      </w:r>
      <w:r>
        <w:rPr>
          <w:rFonts w:hint="eastAsia" w:ascii="Times New Roman" w:hAnsi="Times New Roman" w:cs="Times New Roman"/>
          <w:color w:val="FF0000"/>
          <w:lang w:val="en-US" w:eastAsia="zh-CN"/>
        </w:rPr>
        <w:t xml:space="preserve"> 函数：</w:t>
      </w:r>
      <w:r>
        <w:rPr>
          <w:rFonts w:hint="eastAsia" w:ascii="Times New Roman" w:hAnsi="Times New Roman" w:cs="Times New Roman"/>
          <w:color w:val="FF0000"/>
          <w:lang w:val="en-US" w:eastAsia="zh-CN"/>
        </w:rPr>
        <w:t xml:space="preserve">cal_vwc() 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输出VWC（矩阵数组）</w:t>
      </w:r>
    </w:p>
    <w:p>
      <w:pPr>
        <w:ind w:firstLine="560"/>
        <w:rPr>
          <w:rFonts w:hint="eastAsia" w:ascii="Times New Roman" w:hAnsi="Times New Roman" w:cs="Times New Roman"/>
          <w:lang w:val="en-US" w:eastAsia="zh-CN"/>
        </w:rPr>
      </w:pPr>
    </w:p>
    <w:p>
      <w:pPr>
        <w:ind w:left="0" w:leftChars="0" w:firstLine="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</w:t>
      </w:r>
    </w:p>
    <w:p>
      <w:pPr>
        <w:ind w:left="0" w:leftChars="0" w:firstLine="0" w:firstLineChars="0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I:\MicroWorkspace\product\C-SAR\SoilMoisture\Temporary\processing\vwc.tif</w:t>
      </w: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</w:t>
      </w:r>
      <w:r>
        <w:rPr>
          <w:rFonts w:hint="eastAsia" w:ascii="Times New Roman" w:hAnsi="Times New Roman" w:cs="Times New Roman"/>
          <w:lang w:val="en-US" w:eastAsia="zh-CN"/>
        </w:rPr>
        <w:t>植被覆盖区域</w:t>
      </w:r>
      <w:r>
        <w:rPr>
          <w:rFonts w:hint="default" w:ascii="Times New Roman" w:hAnsi="Times New Roman" w:cs="Times New Roman"/>
        </w:rPr>
        <w:t>总后向散射系数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数据输入</w:t>
      </w:r>
    </w:p>
    <w:p>
      <w:pPr>
        <w:ind w:firstLine="560"/>
        <w:rPr>
          <w:rFonts w:hint="eastAsia" w:ascii="Times New Roman" w:hAnsi="Times New Roman" w:eastAsia="宋体" w:cs="Times New Roman"/>
          <w:szCs w:val="28"/>
          <w:lang w:eastAsia="zh-CN"/>
        </w:rPr>
      </w:pPr>
      <w:r>
        <w:rPr>
          <w:rFonts w:hint="default" w:ascii="Times New Roman" w:hAnsi="Times New Roman" w:cs="Times New Roman"/>
        </w:rPr>
        <w:t>远/近地入射角</w:t>
      </w:r>
      <w:r>
        <w:rPr>
          <w:rFonts w:hint="default" w:ascii="Times New Roman" w:hAnsi="Times New Roman" w:cs="Times New Roman"/>
          <w:szCs w:val="28"/>
        </w:rPr>
        <w:t>θ，从元文件中读取</w:t>
      </w:r>
      <w:r>
        <w:rPr>
          <w:rFonts w:hint="eastAsia" w:ascii="Times New Roman" w:hAnsi="Times New Roman" w:cs="Times New Roman"/>
          <w:szCs w:val="28"/>
          <w:lang w:eastAsia="zh-CN"/>
        </w:rPr>
        <w:t>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经验系数匹配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经验系数数据库中提取，c、d根据区域查找对应的值。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计算公式</w:t>
      </w:r>
    </w:p>
    <w:p>
      <w:pPr>
        <w:pStyle w:val="22"/>
        <w:ind w:left="980" w:firstLine="0" w:firstLineChars="0"/>
        <w:rPr>
          <w:rFonts w:hint="default" w:ascii="Times New Roman" w:hAnsi="Times New Roman" w:cs="Times New Roman"/>
          <w:szCs w:val="28"/>
        </w:rPr>
      </w:pPr>
      <m:oMathPara>
        <m:oMath>
          <m:sSubSup>
            <m:sSubSupP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sSubSupPr>
            <m:e>
              <m:r>
                <m:rPr/>
                <w:rPr>
                  <w:rFonts w:hint="default" w:ascii="Cambria Math" w:hAnsi="Cambria Math" w:eastAsia="Cambria Math" w:cs="Times New Roman"/>
                  <w:sz w:val="24"/>
                </w:rPr>
                <m:t>σ</m:t>
              </m: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e>
            <m:sub>
              <m:r>
                <m:rPr/>
                <w:rPr>
                  <w:rFonts w:hint="default" w:ascii="Cambria Math" w:hAnsi="Cambria Math" w:eastAsia="Cambria Math" w:cs="Times New Roman"/>
                  <w:sz w:val="24"/>
                </w:rPr>
                <m:t>soil</m:t>
              </m: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sub>
            <m:sup>
              <m:r>
                <m:rPr/>
                <w:rPr>
                  <w:rFonts w:hint="default" w:ascii="Cambria Math" w:hAnsi="Cambria Math" w:eastAsia="Cambria Math" w:cs="Times New Roman"/>
                  <w:sz w:val="24"/>
                </w:rPr>
                <m:t>0</m:t>
              </m: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sup>
          </m:sSubSup>
          <m:r>
            <m:rPr>
              <m:sty m:val="p"/>
            </m:rPr>
            <w:rPr>
              <w:rFonts w:hint="default" w:ascii="Cambria Math" w:hAnsi="Cambria Math" w:eastAsia="Cambria Math" w:cs="Times New Roman"/>
              <w:sz w:val="24"/>
            </w:rPr>
            <m:t>=</m:t>
          </m:r>
          <m:r>
            <m:rPr/>
            <w:rPr>
              <w:rFonts w:hint="default" w:ascii="Cambria Math" w:hAnsi="Cambria Math" w:eastAsia="Cambria Math" w:cs="Times New Roman"/>
              <w:sz w:val="24"/>
            </w:rPr>
            <m:t>1+</m:t>
          </m:r>
          <m:f>
            <m:fP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fPr>
            <m:num>
              <m:sSubSup>
                <m:sSubSupP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sSubSupPr>
                <m:e>
                  <m:r>
                    <m:rPr/>
                    <w:rPr>
                      <w:rFonts w:hint="default" w:ascii="Cambria Math" w:hAnsi="Cambria Math" w:eastAsia="Cambria Math" w:cs="Times New Roman"/>
                      <w:sz w:val="24"/>
                    </w:rPr>
                    <m:t>σ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e>
                <m:sub>
                  <m:r>
                    <m:rPr/>
                    <w:rPr>
                      <w:rFonts w:hint="default" w:ascii="Cambria Math" w:hAnsi="Cambria Math" w:eastAsia="Cambria Math" w:cs="Times New Roman"/>
                      <w:sz w:val="24"/>
                    </w:rPr>
                    <m:t>image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sub>
                <m:sup>
                  <m:r>
                    <m:rPr/>
                    <w:rPr>
                      <w:rFonts w:hint="default" w:ascii="Cambria Math" w:hAnsi="Cambria Math" w:eastAsia="Cambria Math" w:cs="Times New Roman"/>
                      <w:sz w:val="24"/>
                    </w:rPr>
                    <m:t>0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sup>
              </m:sSubSup>
              <m:r>
                <m:rPr/>
                <w:rPr>
                  <w:rFonts w:hint="default" w:ascii="Cambria Math" w:hAnsi="Cambria Math" w:eastAsia="Cambria Math" w:cs="Times New Roman"/>
                  <w:sz w:val="24"/>
                </w:rPr>
                <m:t>−cVWC</m:t>
              </m:r>
              <m:func>
                <m:funcP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hint="default" w:ascii="Cambria Math" w:hAnsi="Cambria Math" w:eastAsia="Cambria Math" w:cs="Times New Roman"/>
                      <w:sz w:val="24"/>
                    </w:rPr>
                    <m:t>cos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fName>
                <m:e>
                  <m:r>
                    <m:rPr/>
                    <w:rPr>
                      <w:rFonts w:hint="default" w:ascii="Cambria Math" w:hAnsi="Cambria Math" w:eastAsia="Cambria Math" w:cs="Times New Roman"/>
                      <w:sz w:val="24"/>
                    </w:rPr>
                    <m:t>θ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e>
              </m:func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num>
            <m:den>
              <m:r>
                <m:rPr>
                  <m:sty m:val="p"/>
                </m:rPr>
                <w:rPr>
                  <w:rFonts w:hint="default" w:ascii="Cambria Math" w:hAnsi="Cambria Math" w:eastAsia="Cambria Math" w:cs="Times New Roman"/>
                  <w:sz w:val="24"/>
                </w:rPr>
                <m:t>exp⁡(−2</m:t>
              </m:r>
              <m:r>
                <m:rPr/>
                <w:rPr>
                  <w:rFonts w:hint="default" w:ascii="Cambria Math" w:hAnsi="Cambria Math" w:eastAsia="Cambria Math" w:cs="Times New Roman"/>
                  <w:sz w:val="24"/>
                </w:rPr>
                <m:t>dVWC</m:t>
              </m:r>
              <m:func>
                <m:funcP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hint="default" w:ascii="Cambria Math" w:hAnsi="Cambria Math" w:eastAsia="Cambria Math" w:cs="Times New Roman"/>
                      <w:sz w:val="24"/>
                    </w:rPr>
                    <m:t>sec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fName>
                <m:e>
                  <m:r>
                    <m:rPr/>
                    <w:rPr>
                      <w:rFonts w:hint="default" w:ascii="Cambria Math" w:hAnsi="Cambria Math" w:eastAsia="Cambria Math" w:cs="Times New Roman"/>
                      <w:sz w:val="24"/>
                    </w:rPr>
                    <m:t>θ</m:t>
                  </m:r>
                  <m:ctrlPr>
                    <w:rPr>
                      <w:rFonts w:hint="default" w:ascii="Cambria Math" w:hAnsi="Cambria Math" w:eastAsia="Cambria Math" w:cs="Times New Roman"/>
                      <w:i/>
                      <w:sz w:val="24"/>
                    </w:rPr>
                  </m:ctrlPr>
                </m:e>
              </m:func>
              <m:r>
                <m:rPr>
                  <m:sty m:val="p"/>
                </m:rPr>
                <w:rPr>
                  <w:rFonts w:hint="default" w:ascii="Cambria Math" w:hAnsi="Cambria Math" w:eastAsia="Cambria Math" w:cs="Times New Roman"/>
                  <w:sz w:val="24"/>
                </w:rPr>
                <m:t>)</m:t>
              </m:r>
              <m:ctrlPr>
                <w:rPr>
                  <w:rFonts w:hint="default" w:ascii="Cambria Math" w:hAnsi="Cambria Math" w:eastAsia="Cambria Math" w:cs="Times New Roman"/>
                  <w:sz w:val="24"/>
                </w:rPr>
              </m:ctrlPr>
            </m:den>
          </m:f>
        </m:oMath>
      </m:oMathPara>
    </w:p>
    <w:p>
      <w:pPr>
        <w:ind w:firstLine="56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</w:rPr>
        <w:t>备注：对于不同极化方式HH和VV，其值也有所不同，因此，此处计算出两组</w:t>
      </w:r>
      <m:oMath>
        <m:sSubSup>
          <m:sSubSupPr>
            <m:ctrlPr>
              <w:rPr>
                <w:rFonts w:hint="default" w:ascii="Cambria Math" w:hAnsi="Cambria Math" w:cs="Times New Roman"/>
                <w:sz w:val="24"/>
              </w:rPr>
            </m:ctrlPr>
          </m:sSubSupPr>
          <m:e>
            <m:r>
              <m:rPr/>
              <w:rPr>
                <w:rFonts w:hint="default" w:ascii="Cambria Math" w:hAnsi="Cambria Math" w:cs="Times New Roman"/>
                <w:sz w:val="24"/>
              </w:rPr>
              <m:t>σ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e>
          <m:sub>
            <m:r>
              <m:rPr/>
              <w:rPr>
                <w:rFonts w:hint="default" w:ascii="Cambria Math" w:hAnsi="Cambria Math" w:cs="Times New Roman"/>
                <w:sz w:val="24"/>
              </w:rPr>
              <m:t>HHsoil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/>
                <w:sz w:val="24"/>
              </w:rPr>
              <m:t>0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p>
        </m:sSubSup>
      </m:oMath>
      <w:r>
        <w:rPr>
          <w:rFonts w:hint="default" w:ascii="Times New Roman" w:hAnsi="Times New Roman" w:cs="Times New Roman"/>
          <w:sz w:val="24"/>
        </w:rPr>
        <w:t>和</w:t>
      </w:r>
      <m:oMath>
        <m:sSubSup>
          <m:sSubSupPr>
            <m:ctrlPr>
              <w:rPr>
                <w:rFonts w:hint="default" w:ascii="Cambria Math" w:hAnsi="Cambria Math" w:cs="Times New Roman"/>
                <w:sz w:val="24"/>
              </w:rPr>
            </m:ctrlPr>
          </m:sSubSupPr>
          <m:e>
            <m:r>
              <m:rPr/>
              <w:rPr>
                <w:rFonts w:hint="default" w:ascii="Cambria Math" w:hAnsi="Cambria Math" w:cs="Times New Roman"/>
                <w:sz w:val="24"/>
              </w:rPr>
              <m:t>σ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e>
          <m:sub>
            <m:r>
              <m:rPr/>
              <w:rPr>
                <w:rFonts w:hint="default" w:ascii="Cambria Math" w:hAnsi="Cambria Math" w:cs="Times New Roman"/>
                <w:sz w:val="24"/>
              </w:rPr>
              <m:t>VVsoil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/>
                <w:sz w:val="24"/>
              </w:rPr>
              <m:t>0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p>
        </m:sSubSup>
      </m:oMath>
      <w:r>
        <w:rPr>
          <w:rFonts w:hint="default" w:ascii="Times New Roman" w:hAnsi="Times New Roman" w:cs="Times New Roman"/>
          <w:sz w:val="24"/>
        </w:rPr>
        <w:t>。</w:t>
      </w:r>
    </w:p>
    <w:p>
      <w:pPr>
        <w:ind w:firstLine="560"/>
        <w:rPr>
          <w:rFonts w:hint="default" w:ascii="Times New Roman" w:hAnsi="Times New Roman" w:eastAsia="宋体" w:cs="Times New Roman"/>
          <w:color w:val="FF0000"/>
          <w:sz w:val="24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sz w:val="24"/>
          <w:lang w:val="en-US" w:eastAsia="zh-CN"/>
        </w:rPr>
        <w:t>函数：cal_bare_soil_bsc()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hAnsi="Cambria Math" w:cs="Times New Roman"/>
          <w:i w:val="0"/>
          <w:sz w:val="24"/>
        </w:rPr>
      </w:pPr>
      <w:r>
        <w:rPr>
          <w:rFonts w:hint="default" w:ascii="Times New Roman" w:hAnsi="Times New Roman" w:cs="Times New Roman"/>
        </w:rPr>
        <w:t>两组</w:t>
      </w:r>
      <m:oMath>
        <m:sSubSup>
          <m:sSubSupPr>
            <m:ctrlPr>
              <w:rPr>
                <w:rFonts w:hint="default" w:ascii="Cambria Math" w:hAnsi="Cambria Math" w:cs="Times New Roman"/>
                <w:sz w:val="24"/>
              </w:rPr>
            </m:ctrlPr>
          </m:sSubSupPr>
          <m:e>
            <m:r>
              <m:rPr/>
              <w:rPr>
                <w:rFonts w:hint="default" w:ascii="Cambria Math" w:hAnsi="Cambria Math" w:cs="Times New Roman"/>
                <w:sz w:val="24"/>
              </w:rPr>
              <m:t>σ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e>
          <m:sub>
            <m:r>
              <m:rPr/>
              <w:rPr>
                <w:rFonts w:hint="default" w:ascii="Cambria Math" w:hAnsi="Cambria Math" w:cs="Times New Roman"/>
                <w:sz w:val="24"/>
              </w:rPr>
              <m:t>HHsoil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/>
                <w:sz w:val="24"/>
              </w:rPr>
              <m:t>0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p>
        </m:sSubSup>
      </m:oMath>
      <w:r>
        <w:rPr>
          <w:rFonts w:hint="default" w:ascii="Times New Roman" w:hAnsi="Times New Roman" w:cs="Times New Roman"/>
          <w:sz w:val="24"/>
        </w:rPr>
        <w:t>和</w:t>
      </w:r>
      <m:oMath>
        <m:sSubSup>
          <m:sSubSupPr>
            <m:ctrlPr>
              <w:rPr>
                <w:rFonts w:hint="default" w:ascii="Cambria Math" w:hAnsi="Cambria Math" w:cs="Times New Roman"/>
                <w:sz w:val="24"/>
              </w:rPr>
            </m:ctrlPr>
          </m:sSubSupPr>
          <m:e>
            <m:r>
              <m:rPr/>
              <w:rPr>
                <w:rFonts w:hint="default" w:ascii="Cambria Math" w:hAnsi="Cambria Math" w:cs="Times New Roman"/>
                <w:sz w:val="24"/>
              </w:rPr>
              <m:t>σ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e>
          <m:sub>
            <m:r>
              <m:rPr/>
              <w:rPr>
                <w:rFonts w:hint="default" w:ascii="Cambria Math" w:hAnsi="Cambria Math" w:cs="Times New Roman"/>
                <w:sz w:val="24"/>
              </w:rPr>
              <m:t>VVsoil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b>
          <m:sup>
            <m:r>
              <m:rPr>
                <m:sty m:val="p"/>
              </m:rPr>
              <w:rPr>
                <w:rFonts w:hint="default" w:ascii="Cambria Math" w:hAnsi="Cambria Math" w:cs="Times New Roman"/>
                <w:sz w:val="24"/>
              </w:rPr>
              <m:t>0</m:t>
            </m:r>
            <m:ctrlPr>
              <w:rPr>
                <w:rFonts w:hint="default" w:ascii="Cambria Math" w:hAnsi="Cambria Math" w:cs="Times New Roman"/>
                <w:sz w:val="24"/>
              </w:rPr>
            </m:ctrlPr>
          </m:sup>
        </m:sSubSup>
      </m:oMath>
    </w:p>
    <w:p>
      <w:pPr>
        <w:ind w:left="0" w:leftChars="0" w:firstLine="420" w:firstLineChars="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</w:t>
      </w:r>
    </w:p>
    <w:p>
      <w:pPr>
        <w:ind w:firstLine="56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I:\MicroWorkspace\product\C-SAR\SoilMoisture\Temporary\processing\hh_bare_soil_bsc.tif</w:t>
      </w:r>
    </w:p>
    <w:p>
      <w:pPr>
        <w:ind w:firstLine="560"/>
        <w:rPr>
          <w:rFonts w:hint="default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I:\MicroWorkspace\product\C-SAR\SoilMoisture\Temporary\processing\vv_bare_soil_bsc.tif</w:t>
      </w:r>
    </w:p>
    <w:p>
      <w:pPr>
        <w:pStyle w:val="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计算土壤介电常数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经验系数匹配</w:t>
      </w:r>
    </w:p>
    <w:p>
      <w:pPr>
        <w:ind w:firstLine="56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经验系数数据库中提取，</w:t>
      </w:r>
      <w:r>
        <w:rPr>
          <w:rFonts w:hint="default" w:ascii="Times New Roman" w:hAnsi="Times New Roman" w:cs="Times New Roman"/>
          <w:szCs w:val="28"/>
        </w:rPr>
        <w:t>λ</w:t>
      </w:r>
      <w:r>
        <w:rPr>
          <w:rFonts w:hint="default" w:ascii="Times New Roman" w:hAnsi="Times New Roman" w:cs="Times New Roman"/>
        </w:rPr>
        <w:t>根据区域查找对应的值。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计算公式</w:t>
      </w:r>
    </w:p>
    <w:p>
      <w:pPr>
        <w:ind w:firstLine="480"/>
        <w:rPr>
          <w:rFonts w:hint="default" w:hAnsi="Cambria Math" w:cs="Times New Roman"/>
          <w:i w:val="0"/>
          <w:sz w:val="24"/>
        </w:rPr>
      </w:pPr>
      <m:oMathPara>
        <m:oMath>
          <m:r>
            <m:rPr>
              <m:sty m:val="p"/>
            </m:rPr>
            <w:rPr>
              <w:rFonts w:hint="default" w:ascii="Cambria Math" w:hAnsi="Cambria Math" w:cs="Times New Roman"/>
              <w:sz w:val="24"/>
            </w:rPr>
            <m:t>ɛ=</m:t>
          </m:r>
          <m:f>
            <m:fPr>
              <m:ctrlPr>
                <w:rPr>
                  <w:rFonts w:hint="default" w:ascii="Cambria Math" w:hAnsi="Cambria Math" w:cs="Times New Roman"/>
                  <w:sz w:val="24"/>
                </w:rPr>
              </m:ctrlPr>
            </m:fPr>
            <m:num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1</m:t>
              </m:r>
              <m:ctrlPr>
                <w:rPr>
                  <w:rFonts w:hint="default" w:ascii="Cambria Math" w:hAnsi="Cambria Math" w:cs="Times New Roman"/>
                  <w:sz w:val="24"/>
                </w:rPr>
              </m:ctrlPr>
            </m:num>
            <m:den>
              <m:r>
                <m:rPr>
                  <m:sty m:val="p"/>
                </m:rPr>
                <w:rPr>
                  <w:rFonts w:hint="default" w:ascii="Cambria Math" w:hAnsi="Cambria Math" w:cs="Times New Roman"/>
                  <w:sz w:val="24"/>
                </w:rPr>
                <m:t>0.024</m:t>
              </m:r>
              <m:func>
                <m:funcP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sz w:val="24"/>
                    </w:rPr>
                    <m:t>tan</m:t>
                  </m: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fName>
                <m:e>
                  <m:r>
                    <m:rPr/>
                    <w:rPr>
                      <w:rFonts w:hint="default" w:ascii="Cambria Math" w:hAnsi="Cambria Math" w:cs="Times New Roman"/>
                      <w:sz w:val="24"/>
                    </w:rPr>
                    <m:t>θ</m:t>
                  </m: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e>
              </m:func>
              <m:ctrlPr>
                <w:rPr>
                  <w:rFonts w:hint="default" w:ascii="Cambria Math" w:hAnsi="Cambria Math" w:cs="Times New Roman"/>
                  <w:sz w:val="24"/>
                </w:rPr>
              </m:ctrlPr>
            </m:den>
          </m:f>
          <m:func>
            <m:funcPr>
              <m:ctrlPr>
                <w:rPr>
                  <w:rFonts w:hint="default" w:ascii="Cambria Math" w:hAnsi="Cambria Math" w:cs="Times New Roman"/>
                  <w:sz w:val="24"/>
                </w:rPr>
              </m:ctrlPr>
            </m:funcPr>
            <m:fName>
              <m:sSub>
                <m:sSubP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sz w:val="24"/>
                    </w:rPr>
                    <m:t>log</m:t>
                  </m: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e>
                <m:sub>
                  <m:r>
                    <m:rPr>
                      <m:sty m:val="p"/>
                    </m:rPr>
                    <w:rPr>
                      <w:rFonts w:hint="default" w:ascii="Cambria Math" w:hAnsi="Cambria Math" w:cs="Times New Roman"/>
                      <w:sz w:val="24"/>
                    </w:rPr>
                    <m:t>10</m:t>
                  </m: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sub>
              </m:sSub>
              <m:ctrlPr>
                <w:rPr>
                  <w:rFonts w:hint="default" w:ascii="Cambria Math" w:hAnsi="Cambria Math" w:cs="Times New Roman"/>
                  <w:sz w:val="24"/>
                </w:rPr>
              </m:ctrlPr>
            </m:fName>
            <m:e>
              <m:d>
                <m:dPr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dPr>
                <m:e>
                  <m:f>
                    <m:fPr>
                      <m:ctrlPr>
                        <w:rPr>
                          <w:rFonts w:hint="default" w:ascii="Cambria Math" w:hAnsi="Cambria Math" w:cs="Times New Roman"/>
                          <w:sz w:val="24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10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0.19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p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pPr>
                        <m:e>
                          <m:r>
                            <m:rPr/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λ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0.15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p>
                      <m:sSubSup>
                        <m:sSub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bSupPr>
                        <m:e>
                          <m:r>
                            <m:rPr/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σ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b>
                          <m:r>
                            <m:rPr/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HHsoil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b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0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bSup>
                      <m:ctrlPr>
                        <w:rPr>
                          <w:rFonts w:hint="default" w:ascii="Cambria Math" w:hAnsi="Cambria Math" w:cs="Times New Roman"/>
                          <w:sz w:val="24"/>
                        </w:rPr>
                      </m:ctrlPr>
                    </m:num>
                    <m:den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dPr>
                            <m:e>
                              <m:func>
                                <m:funcP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  <m:t>cos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fName>
                                <m:e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  <m:t>θ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e>
                              </m:func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e>
                          </m:d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1.82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p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dPr>
                            <m:e>
                              <m:func>
                                <m:funcP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  <m:t>sin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fName>
                                <m:e>
                                  <m:r>
                                    <m:rPr/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  <m:t>θ</m:t>
                                  </m:r>
                                  <m:ctrlPr>
                                    <w:rPr>
                                      <w:rFonts w:hint="default" w:ascii="Cambria Math" w:hAnsi="Cambria Math" w:cs="Times New Roman"/>
                                      <w:sz w:val="24"/>
                                    </w:rPr>
                                  </m:ctrlPr>
                                </m:e>
                              </m:func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e>
                          </m:d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0.93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p>
                      <m:sSup>
                        <m:sSupP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SupPr>
                        <m:e>
                          <m:sSubSup>
                            <m:sSubSupP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sSubSupPr>
                            <m:e>
                              <m:r>
                                <m:rPr/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  <m:t>σ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e>
                            <m:sub>
                              <m:r>
                                <m:rPr/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  <m:t>VVsoil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  <m:t>0</m:t>
                              </m:r>
                              <m:ctrlPr>
                                <w:rPr>
                                  <w:rFonts w:hint="default" w:ascii="Cambria Math" w:hAnsi="Cambria Math" w:cs="Times New Roman"/>
                                  <w:sz w:val="24"/>
                                </w:rPr>
                              </m:ctrlPr>
                            </m:sup>
                          </m:sSubSup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  <m:t>0.786</m:t>
                          </m:r>
                          <m:ctrlPr>
                            <w:rPr>
                              <w:rFonts w:hint="default" w:ascii="Cambria Math" w:hAnsi="Cambria Math" w:cs="Times New Roman"/>
                              <w:sz w:val="24"/>
                            </w:rPr>
                          </m:ctrlPr>
                        </m:sup>
                      </m:sSup>
                      <m:ctrlPr>
                        <w:rPr>
                          <w:rFonts w:hint="default" w:ascii="Cambria Math" w:hAnsi="Cambria Math" w:cs="Times New Roman"/>
                          <w:sz w:val="24"/>
                        </w:rPr>
                      </m:ctrlPr>
                    </m:den>
                  </m:f>
                  <m:ctrlPr>
                    <w:rPr>
                      <w:rFonts w:hint="default" w:ascii="Cambria Math" w:hAnsi="Cambria Math" w:cs="Times New Roman"/>
                      <w:sz w:val="24"/>
                    </w:rPr>
                  </m:ctrlPr>
                </m:e>
              </m:d>
              <m:ctrlPr>
                <w:rPr>
                  <w:rFonts w:hint="default" w:ascii="Cambria Math" w:hAnsi="Cambria Math" w:cs="Times New Roman"/>
                  <w:sz w:val="24"/>
                </w:rPr>
              </m:ctrlPr>
            </m:e>
          </m:func>
        </m:oMath>
      </m:oMathPara>
    </w:p>
    <w:p>
      <w:pPr>
        <w:ind w:firstLine="480"/>
        <w:rPr>
          <w:rFonts w:hint="default" w:hAnsi="Cambria Math" w:eastAsia="宋体" w:cs="Times New Roman"/>
          <w:i w:val="0"/>
          <w:color w:val="FF0000"/>
          <w:sz w:val="24"/>
          <w:lang w:val="en-US" w:eastAsia="zh-CN"/>
        </w:rPr>
      </w:pPr>
      <w:r>
        <w:rPr>
          <w:rFonts w:hint="eastAsia" w:hAnsi="Cambria Math" w:cs="Times New Roman"/>
          <w:i w:val="0"/>
          <w:color w:val="FF0000"/>
          <w:sz w:val="24"/>
          <w:lang w:val="en-US" w:eastAsia="zh-CN"/>
        </w:rPr>
        <w:t>函数：cal_soil_moisture()</w:t>
      </w: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p>
      <w:pPr>
        <w:ind w:firstLine="560"/>
        <w:rPr>
          <w:rFonts w:hint="default" w:ascii="Times New Roman" w:hAnsi="Times New Roman" w:eastAsia="MS Mincho" w:cs="Times New Roman"/>
        </w:rPr>
      </w:pPr>
      <w:r>
        <w:rPr>
          <w:rFonts w:hint="default" w:ascii="Times New Roman" w:hAnsi="Times New Roman" w:eastAsia="MS Mincho" w:cs="Times New Roman"/>
        </w:rPr>
        <w:t>Ɛ</w:t>
      </w:r>
    </w:p>
    <w:p>
      <w:pPr>
        <w:ind w:firstLine="56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</w:t>
      </w:r>
    </w:p>
    <w:p>
      <w:pPr>
        <w:ind w:firstLine="560"/>
        <w:rPr>
          <w:rFonts w:hint="default" w:ascii="Times New Roman" w:hAnsi="Times New Roman" w:eastAsia="MS Mincho" w:cs="Times New Roma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I:\MicroWorkspace\product\C-SAR\SoilMoisture\Temporary\processing\soil_dielectric.tif</w:t>
      </w:r>
    </w:p>
    <w:p>
      <w:pPr>
        <w:pStyle w:val="3"/>
      </w:pPr>
      <w:r>
        <w:rPr>
          <w:rFonts w:hint="eastAsia"/>
          <w:lang w:val="en-US" w:eastAsia="zh-CN"/>
        </w:rPr>
        <w:t>基于Dubois模型计算土壤水分含量</w:t>
      </w:r>
    </w:p>
    <w:p>
      <w:pPr>
        <w:rPr>
          <w:rFonts w:hint="eastAsia"/>
          <w:lang w:val="en-US" w:eastAsia="zh-CN"/>
        </w:rPr>
      </w:pPr>
      <w:bookmarkStart w:id="1" w:name="_GoBack"/>
      <w:r>
        <w:rPr>
          <w:rFonts w:hint="eastAsia"/>
          <w:lang w:val="en-US" w:eastAsia="zh-CN"/>
        </w:rPr>
        <w:t>具体看参考文献1</w:t>
      </w:r>
      <w:bookmarkEnd w:id="1"/>
      <w:r>
        <w:rPr>
          <w:rFonts w:hint="eastAsia"/>
          <w:lang w:val="en-US" w:eastAsia="zh-CN"/>
        </w:rPr>
        <w:t>的4.2节和4.3节；</w:t>
      </w:r>
    </w:p>
    <w:p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函数：dobsen_inverse()</w:t>
      </w:r>
    </w:p>
    <w:p>
      <w:pPr>
        <w:ind w:firstLine="560"/>
        <w:rPr>
          <w:rFonts w:hint="eastAsia" w:ascii="Times New Roman" w:hAnsi="Times New Roman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</w:t>
      </w:r>
    </w:p>
    <w:p>
      <w:pPr>
        <w:ind w:firstLine="560"/>
        <w:rPr>
          <w:rFonts w:hint="default" w:ascii="Times New Roman" w:hAnsi="Times New Roman" w:eastAsia="MS Mincho" w:cs="Times New Roman"/>
          <w:lang w:val="en-US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I:\MicroWorkspace\product\C-SAR\SoilMoisture\Temporary\processing\soil_moisture.tif</w:t>
      </w:r>
    </w:p>
    <w:p>
      <w:pPr>
        <w:rPr>
          <w:rFonts w:hint="default"/>
          <w:lang w:val="en-US" w:eastAsia="zh-CN"/>
        </w:rPr>
      </w:pPr>
    </w:p>
    <w:p>
      <w:pPr>
        <w:pStyle w:val="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输出</w:t>
      </w:r>
    </w:p>
    <w:tbl>
      <w:tblPr>
        <w:tblStyle w:val="1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418"/>
        <w:gridCol w:w="1559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序号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名称（参数/数据）</w:t>
            </w:r>
          </w:p>
        </w:tc>
        <w:tc>
          <w:tcPr>
            <w:tcW w:w="1559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格式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数据描述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土壤水分产品</w:t>
            </w:r>
          </w:p>
        </w:tc>
        <w:tc>
          <w:tcPr>
            <w:tcW w:w="1559" w:type="dxa"/>
          </w:tcPr>
          <w:p>
            <w:pPr>
              <w:ind w:firstLine="210" w:firstLineChars="10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tif</w:t>
            </w:r>
          </w:p>
        </w:tc>
        <w:tc>
          <w:tcPr>
            <w:tcW w:w="2126" w:type="dxa"/>
          </w:tcPr>
          <w:p>
            <w:pPr>
              <w:ind w:left="0" w:leftChars="0" w:firstLine="0" w:firstLineChars="0"/>
              <w:rPr>
                <w:rFonts w:hint="default" w:ascii="Times New Roman" w:hAnsi="Times New Roman" w:eastAsia="宋体" w:cs="Times New Roman"/>
                <w:i/>
                <w:i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记录土壤水分含量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2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产品元文件</w:t>
            </w:r>
          </w:p>
        </w:tc>
        <w:tc>
          <w:tcPr>
            <w:tcW w:w="1559" w:type="dxa"/>
          </w:tcPr>
          <w:p>
            <w:pPr>
              <w:ind w:firstLine="210" w:firstLineChars="10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xml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记录生产产品的卫星信息、算法信息、产品信息。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3</w:t>
            </w:r>
          </w:p>
        </w:tc>
        <w:tc>
          <w:tcPr>
            <w:tcW w:w="1418" w:type="dxa"/>
          </w:tcPr>
          <w:p>
            <w:pPr>
              <w:ind w:left="0" w:leftChars="0" w:firstLine="0" w:firstLineChars="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快视图</w:t>
            </w:r>
          </w:p>
        </w:tc>
        <w:tc>
          <w:tcPr>
            <w:tcW w:w="1559" w:type="dxa"/>
          </w:tcPr>
          <w:p>
            <w:pPr>
              <w:ind w:firstLine="210" w:firstLineChars="10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jpg</w:t>
            </w:r>
          </w:p>
        </w:tc>
        <w:tc>
          <w:tcPr>
            <w:tcW w:w="2126" w:type="dxa"/>
          </w:tcPr>
          <w:p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预览图</w:t>
            </w:r>
          </w:p>
        </w:tc>
        <w:tc>
          <w:tcPr>
            <w:tcW w:w="2127" w:type="dxa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ind w:left="0" w:leftChars="0" w:firstLine="210" w:firstLineChars="100"/>
        <w:rPr>
          <w:rFonts w:hint="default" w:ascii="Times New Roman" w:hAnsi="Times New Roman" w:eastAsia="宋体" w:cs="Times New Roman"/>
          <w:color w:val="FF0000"/>
          <w:lang w:val="en-US" w:eastAsia="zh-CN"/>
        </w:rPr>
      </w:pPr>
      <w:r>
        <w:rPr>
          <w:rFonts w:hint="eastAsia" w:ascii="Times New Roman" w:hAnsi="Times New Roman" w:cs="Times New Roman"/>
          <w:color w:val="FF0000"/>
          <w:lang w:val="en-US" w:eastAsia="zh-CN"/>
        </w:rPr>
        <w:t>输出路径：I:\MicroWorkspace\product\C-SAR\SoilMoisture\Temporary\processing\product</w:t>
      </w:r>
    </w:p>
    <w:p>
      <w:pPr>
        <w:ind w:left="0" w:leftChars="0" w:firstLine="0" w:firstLineChars="0"/>
        <w:rPr>
          <w:rFonts w:hint="eastAsia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</w:pPr>
      <w:r>
        <w:rPr>
          <w:rFonts w:hint="eastAsia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  <w:t>参考文献：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白晓静. 基于多波段多极化SAR数据的草原地表土壤水分反演方法研究[D].电子科技大学,2017.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谢凯鑫.基于Radarsat-2全极化数据的高原牧草覆盖地表土壤水分反演</w:t>
      </w:r>
    </w:p>
    <w:p>
      <w:pPr>
        <w:ind w:left="0" w:leftChars="0" w:firstLine="0" w:firstLineChars="0"/>
        <w:rPr>
          <w:rFonts w:hint="default" w:eastAsia="宋体" w:asciiTheme="majorAscii" w:hAnsiTheme="majorAscii" w:cstheme="majorBidi"/>
          <w:b/>
          <w:bCs/>
          <w:kern w:val="2"/>
          <w:sz w:val="30"/>
          <w:szCs w:val="32"/>
          <w:lang w:val="en-US" w:eastAsia="zh-CN" w:bidi="ar-SA"/>
        </w:rPr>
      </w:pPr>
    </w:p>
    <w:sectPr>
      <w:headerReference r:id="rId9" w:type="first"/>
      <w:footerReference r:id="rId12" w:type="first"/>
      <w:headerReference r:id="rId7" w:type="default"/>
      <w:footerReference r:id="rId10" w:type="default"/>
      <w:headerReference r:id="rId8" w:type="even"/>
      <w:footerReference r:id="rId11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ev" w:date="2022-11-07T09:52:49Z" w:initials="e">
    <w:p w14:paraId="17181E00">
      <w:pPr>
        <w:pStyle w:val="11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计算土壤水分、叶面积、地表粗糙度产品，使用入射角文件还是局部入射角文件？文献中常用入射角文件？本项目全部使用了入射角文件？</w:t>
      </w:r>
    </w:p>
  </w:comment>
  <w:comment w:id="1" w:author="ev" w:date="2022-11-07T09:54:06Z" w:initials="e">
    <w:p w14:paraId="276D4425">
      <w:pPr>
        <w:pStyle w:val="11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论文中将sar（4米分辨率）等影像重采样到了cover的30米分辨率.本项目都把辅助影像重采样到了4米分辨率。以哪个方式比较合适？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7181E00" w15:done="0"/>
  <w15:commentEx w15:paraId="276D4425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onospace">
    <w:altName w:val="EarthView 交通设施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arthView 交通设施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E96E29"/>
    <w:multiLevelType w:val="singleLevel"/>
    <w:tmpl w:val="82E96E29"/>
    <w:lvl w:ilvl="0" w:tentative="0">
      <w:start w:val="1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D2694874"/>
    <w:multiLevelType w:val="singleLevel"/>
    <w:tmpl w:val="D269487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A717AF9"/>
    <w:multiLevelType w:val="multilevel"/>
    <w:tmpl w:val="2A717AF9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ev">
    <w15:presenceInfo w15:providerId="None" w15:userId="ev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2YjVkOTExMDI1ODBmZTU0NWQzMWU5MTkwMzBkZTUifQ=="/>
  </w:docVars>
  <w:rsids>
    <w:rsidRoot w:val="00EF0137"/>
    <w:rsid w:val="00073ACA"/>
    <w:rsid w:val="000E56AA"/>
    <w:rsid w:val="001320CD"/>
    <w:rsid w:val="00134854"/>
    <w:rsid w:val="001A5E28"/>
    <w:rsid w:val="001E65C1"/>
    <w:rsid w:val="0029269F"/>
    <w:rsid w:val="003C0778"/>
    <w:rsid w:val="00421412"/>
    <w:rsid w:val="00495957"/>
    <w:rsid w:val="004E0210"/>
    <w:rsid w:val="00546F07"/>
    <w:rsid w:val="005A3D67"/>
    <w:rsid w:val="005F6AD5"/>
    <w:rsid w:val="006644D3"/>
    <w:rsid w:val="0067583F"/>
    <w:rsid w:val="00685EDE"/>
    <w:rsid w:val="006A7337"/>
    <w:rsid w:val="00777549"/>
    <w:rsid w:val="007C6C28"/>
    <w:rsid w:val="007E0566"/>
    <w:rsid w:val="0083180C"/>
    <w:rsid w:val="0085554E"/>
    <w:rsid w:val="00892AA2"/>
    <w:rsid w:val="008A77F3"/>
    <w:rsid w:val="009A3703"/>
    <w:rsid w:val="00B8264D"/>
    <w:rsid w:val="00BD699F"/>
    <w:rsid w:val="00BF2A65"/>
    <w:rsid w:val="00C819CC"/>
    <w:rsid w:val="00D12A3D"/>
    <w:rsid w:val="00D142FE"/>
    <w:rsid w:val="00D24479"/>
    <w:rsid w:val="00D702AA"/>
    <w:rsid w:val="00DD7AB0"/>
    <w:rsid w:val="00EF0137"/>
    <w:rsid w:val="00F838BB"/>
    <w:rsid w:val="0177437E"/>
    <w:rsid w:val="01E119E3"/>
    <w:rsid w:val="0371420C"/>
    <w:rsid w:val="05F2213C"/>
    <w:rsid w:val="0A981059"/>
    <w:rsid w:val="0BD7624B"/>
    <w:rsid w:val="1173333B"/>
    <w:rsid w:val="147716F5"/>
    <w:rsid w:val="169436A1"/>
    <w:rsid w:val="1733555D"/>
    <w:rsid w:val="17EA1018"/>
    <w:rsid w:val="17EC02EE"/>
    <w:rsid w:val="18604A45"/>
    <w:rsid w:val="18C748B7"/>
    <w:rsid w:val="19F768CD"/>
    <w:rsid w:val="1A7D5C2E"/>
    <w:rsid w:val="1B370804"/>
    <w:rsid w:val="1BF63E31"/>
    <w:rsid w:val="1C324211"/>
    <w:rsid w:val="1C645829"/>
    <w:rsid w:val="1CA84E52"/>
    <w:rsid w:val="1F29194A"/>
    <w:rsid w:val="200155D2"/>
    <w:rsid w:val="204607B7"/>
    <w:rsid w:val="213A031C"/>
    <w:rsid w:val="23C41CD2"/>
    <w:rsid w:val="26CE22ED"/>
    <w:rsid w:val="2BD55811"/>
    <w:rsid w:val="2C005C05"/>
    <w:rsid w:val="2D450952"/>
    <w:rsid w:val="2DA03B6E"/>
    <w:rsid w:val="2E2B2E21"/>
    <w:rsid w:val="2F3E3E9D"/>
    <w:rsid w:val="302747FC"/>
    <w:rsid w:val="32571AF1"/>
    <w:rsid w:val="36A91D74"/>
    <w:rsid w:val="394F57CB"/>
    <w:rsid w:val="3B480F77"/>
    <w:rsid w:val="3DD511CF"/>
    <w:rsid w:val="3F91275B"/>
    <w:rsid w:val="41840AA3"/>
    <w:rsid w:val="430E6DCF"/>
    <w:rsid w:val="453A2AEE"/>
    <w:rsid w:val="45D12EC1"/>
    <w:rsid w:val="46A33330"/>
    <w:rsid w:val="46E67CE2"/>
    <w:rsid w:val="472F45C5"/>
    <w:rsid w:val="47827BF1"/>
    <w:rsid w:val="47FA44F2"/>
    <w:rsid w:val="4860425D"/>
    <w:rsid w:val="4A9F6403"/>
    <w:rsid w:val="4C4874E2"/>
    <w:rsid w:val="4E0B7574"/>
    <w:rsid w:val="4E98664C"/>
    <w:rsid w:val="503C110B"/>
    <w:rsid w:val="505207DB"/>
    <w:rsid w:val="53986FA1"/>
    <w:rsid w:val="5406219A"/>
    <w:rsid w:val="58F509F1"/>
    <w:rsid w:val="59DA7AB2"/>
    <w:rsid w:val="5A040EEC"/>
    <w:rsid w:val="5BCF5D45"/>
    <w:rsid w:val="5F960025"/>
    <w:rsid w:val="618A0D45"/>
    <w:rsid w:val="64F74E23"/>
    <w:rsid w:val="672E2FE4"/>
    <w:rsid w:val="68420E31"/>
    <w:rsid w:val="71D057ED"/>
    <w:rsid w:val="730D74BF"/>
    <w:rsid w:val="73DC0EA9"/>
    <w:rsid w:val="746C5BB4"/>
    <w:rsid w:val="74AB0C35"/>
    <w:rsid w:val="74D428D0"/>
    <w:rsid w:val="75596138"/>
    <w:rsid w:val="75B9761B"/>
    <w:rsid w:val="785D5F3F"/>
    <w:rsid w:val="786A065C"/>
    <w:rsid w:val="7CF36E72"/>
    <w:rsid w:val="7DA243F4"/>
    <w:rsid w:val="7DB86306"/>
    <w:rsid w:val="7E865929"/>
    <w:rsid w:val="7F2E0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eastAsia="宋体" w:asciiTheme="minorAscii" w:hAnsiTheme="minorAscii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numPr>
        <w:ilvl w:val="0"/>
        <w:numId w:val="1"/>
      </w:numPr>
      <w:ind w:left="0" w:firstLine="0" w:firstLineChars="0"/>
      <w:outlineLvl w:val="0"/>
    </w:pPr>
    <w:rPr>
      <w:b/>
      <w:bCs/>
      <w:kern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numPr>
        <w:ilvl w:val="1"/>
        <w:numId w:val="1"/>
      </w:numPr>
      <w:ind w:left="0" w:firstLine="0" w:firstLineChars="0"/>
      <w:outlineLvl w:val="1"/>
    </w:pPr>
    <w:rPr>
      <w:rFonts w:eastAsia="宋体" w:asciiTheme="majorAscii" w:hAnsiTheme="majorAscii" w:cstheme="majorBidi"/>
      <w:b/>
      <w:bCs/>
      <w:sz w:val="30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numPr>
        <w:ilvl w:val="2"/>
        <w:numId w:val="1"/>
      </w:numPr>
      <w:ind w:left="0" w:firstLine="0" w:firstLineChars="0"/>
      <w:outlineLvl w:val="2"/>
    </w:pPr>
    <w:rPr>
      <w:b/>
      <w:bCs/>
      <w:sz w:val="28"/>
      <w:szCs w:val="32"/>
    </w:rPr>
  </w:style>
  <w:style w:type="paragraph" w:styleId="5">
    <w:name w:val="heading 4"/>
    <w:basedOn w:val="1"/>
    <w:next w:val="1"/>
    <w:link w:val="26"/>
    <w:semiHidden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27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Cs w:val="28"/>
    </w:rPr>
  </w:style>
  <w:style w:type="paragraph" w:styleId="7">
    <w:name w:val="heading 6"/>
    <w:basedOn w:val="1"/>
    <w:next w:val="1"/>
    <w:link w:val="28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29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0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31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33"/>
    <w:semiHidden/>
    <w:unhideWhenUsed/>
    <w:qFormat/>
    <w:uiPriority w:val="99"/>
    <w:pPr>
      <w:jc w:val="left"/>
    </w:pPr>
  </w:style>
  <w:style w:type="paragraph" w:styleId="12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annotation subject"/>
    <w:basedOn w:val="11"/>
    <w:next w:val="11"/>
    <w:link w:val="34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9">
    <w:name w:val="annotation reference"/>
    <w:basedOn w:val="17"/>
    <w:semiHidden/>
    <w:unhideWhenUsed/>
    <w:qFormat/>
    <w:uiPriority w:val="99"/>
    <w:rPr>
      <w:sz w:val="21"/>
      <w:szCs w:val="21"/>
    </w:rPr>
  </w:style>
  <w:style w:type="character" w:customStyle="1" w:styleId="20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21">
    <w:name w:val="页脚 字符"/>
    <w:basedOn w:val="17"/>
    <w:link w:val="12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/>
    </w:pPr>
  </w:style>
  <w:style w:type="character" w:customStyle="1" w:styleId="23">
    <w:name w:val="标题 1 字符"/>
    <w:basedOn w:val="17"/>
    <w:link w:val="2"/>
    <w:qFormat/>
    <w:uiPriority w:val="9"/>
    <w:rPr>
      <w:rFonts w:eastAsia="宋体"/>
      <w:b/>
      <w:bCs/>
      <w:kern w:val="44"/>
      <w:sz w:val="28"/>
      <w:szCs w:val="44"/>
    </w:rPr>
  </w:style>
  <w:style w:type="character" w:customStyle="1" w:styleId="24">
    <w:name w:val="标题 2 字符"/>
    <w:basedOn w:val="17"/>
    <w:link w:val="3"/>
    <w:qFormat/>
    <w:uiPriority w:val="9"/>
    <w:rPr>
      <w:rFonts w:eastAsia="宋体" w:asciiTheme="majorAscii" w:hAnsiTheme="majorAscii" w:cstheme="majorBidi"/>
      <w:b/>
      <w:bCs/>
      <w:sz w:val="30"/>
      <w:szCs w:val="32"/>
    </w:rPr>
  </w:style>
  <w:style w:type="character" w:customStyle="1" w:styleId="25">
    <w:name w:val="标题 3 字符"/>
    <w:basedOn w:val="17"/>
    <w:link w:val="4"/>
    <w:qFormat/>
    <w:uiPriority w:val="9"/>
    <w:rPr>
      <w:rFonts w:eastAsia="宋体"/>
      <w:b/>
      <w:bCs/>
      <w:sz w:val="28"/>
      <w:szCs w:val="32"/>
    </w:rPr>
  </w:style>
  <w:style w:type="character" w:customStyle="1" w:styleId="26">
    <w:name w:val="标题 4 字符"/>
    <w:basedOn w:val="17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7">
    <w:name w:val="标题 5 字符"/>
    <w:basedOn w:val="17"/>
    <w:link w:val="6"/>
    <w:semiHidden/>
    <w:qFormat/>
    <w:uiPriority w:val="9"/>
    <w:rPr>
      <w:b/>
      <w:bCs/>
      <w:sz w:val="28"/>
      <w:szCs w:val="28"/>
    </w:rPr>
  </w:style>
  <w:style w:type="character" w:customStyle="1" w:styleId="28">
    <w:name w:val="标题 6 字符"/>
    <w:basedOn w:val="17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29">
    <w:name w:val="标题 7 字符"/>
    <w:basedOn w:val="17"/>
    <w:link w:val="8"/>
    <w:semiHidden/>
    <w:qFormat/>
    <w:uiPriority w:val="9"/>
    <w:rPr>
      <w:b/>
      <w:bCs/>
      <w:sz w:val="24"/>
      <w:szCs w:val="24"/>
    </w:rPr>
  </w:style>
  <w:style w:type="character" w:customStyle="1" w:styleId="30">
    <w:name w:val="标题 8 字符"/>
    <w:basedOn w:val="1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31">
    <w:name w:val="标题 9 字符"/>
    <w:basedOn w:val="17"/>
    <w:link w:val="10"/>
    <w:semiHidden/>
    <w:qFormat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32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3">
    <w:name w:val="批注文字 字符"/>
    <w:basedOn w:val="17"/>
    <w:link w:val="11"/>
    <w:semiHidden/>
    <w:qFormat/>
    <w:uiPriority w:val="99"/>
    <w:rPr>
      <w:rFonts w:eastAsia="宋体"/>
      <w:sz w:val="28"/>
    </w:rPr>
  </w:style>
  <w:style w:type="character" w:customStyle="1" w:styleId="34">
    <w:name w:val="批注主题 字符"/>
    <w:basedOn w:val="33"/>
    <w:link w:val="14"/>
    <w:semiHidden/>
    <w:qFormat/>
    <w:uiPriority w:val="99"/>
    <w:rPr>
      <w:rFonts w:eastAsia="宋体"/>
      <w:b/>
      <w:bCs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8" Type="http://schemas.microsoft.com/office/2011/relationships/people" Target="people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.emf"/><Relationship Id="rId14" Type="http://schemas.openxmlformats.org/officeDocument/2006/relationships/package" Target="embeddings/Microsoft_Visio___1.vsdx"/><Relationship Id="rId13" Type="http://schemas.openxmlformats.org/officeDocument/2006/relationships/theme" Target="theme/theme1.xml"/><Relationship Id="rId12" Type="http://schemas.openxmlformats.org/officeDocument/2006/relationships/footer" Target="footer3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991</Words>
  <Characters>1909</Characters>
  <Lines>8</Lines>
  <Paragraphs>2</Paragraphs>
  <TotalTime>7</TotalTime>
  <ScaleCrop>false</ScaleCrop>
  <LinksUpToDate>false</LinksUpToDate>
  <CharactersWithSpaces>1919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2021-07-19T05:31:00Z</dcterms:created>
  <dc:creator>W HY</dc:creator>
  <cp:lastModifiedBy>ev</cp:lastModifiedBy>
  <dcterms:modified xsi:type="dcterms:W3CDTF">2022-11-07T01:56:13Z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9632FC8794944FA5B98B9EC7AC57D4D9</vt:lpwstr>
  </property>
</Properties>
</file>